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To (Mr/Ms) (NAME OF Politician)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Shortly there will be some legislation presented to the Parliament which will change the categories of lever action shotguns, this is in the form of the JUSTICE LEGISLATION (POLICE AND OTHER MATTERS) BILL 2018.</w:t>
      </w:r>
    </w:p>
    <w:p w:rsidR="00000000" w:rsidDel="00000000" w:rsidP="00000000" w:rsidRDefault="00000000" w:rsidRPr="00000000" w14:paraId="00000003">
      <w:pPr>
        <w:contextualSpacing w:val="0"/>
        <w:rPr/>
      </w:pPr>
      <w:r w:rsidDel="00000000" w:rsidR="00000000" w:rsidRPr="00000000">
        <w:rPr>
          <w:rtl w:val="0"/>
        </w:rPr>
        <w:t xml:space="preserve">The requirement for the changes has no basis in fact or data with the government answering a Question Without Notice in the last few weeks where they couldn’t list crimes committed with lever action shotguns as it doesn’t keep that data. This is because criminal’s preference firearms they can cut down and shorten, doing this to a lever action shotgun will render the magazine incapable of holding ammunition and thus the firearm becomes near useless.</w:t>
        <w:br w:type="textWrapping"/>
        <w:br w:type="textWrapping"/>
        <w:t xml:space="preserve">Lever action shotguns have been in existence for more than 140 years and have never featured in crime statistics. When the original NFA was created in 1996 lever action shotguns were considered and left in the lowest category, category A. </w:t>
        <w:br w:type="textWrapping"/>
        <w:br w:type="textWrapping"/>
        <w:t xml:space="preserve">Australia generally scores very highly in both Olympic and Commonwealth games as well as World Titles when it comes to the sport of shooting. By placing unnecessary restriction on lever action shotguns, we are limiting people’s ability to perform in competitions around the world by only allowing them to train under the within the framework our laws. Single Action is one such competition and already replaced pump action shotguns with lever actions to to comply with Australian law.</w:t>
        <w:br w:type="textWrapping"/>
      </w:r>
    </w:p>
    <w:p w:rsidR="00000000" w:rsidDel="00000000" w:rsidP="00000000" w:rsidRDefault="00000000" w:rsidRPr="00000000" w14:paraId="00000004">
      <w:pPr>
        <w:contextualSpacing w:val="0"/>
        <w:rPr/>
      </w:pPr>
      <w:r w:rsidDel="00000000" w:rsidR="00000000" w:rsidRPr="00000000">
        <w:rPr>
          <w:rtl w:val="0"/>
        </w:rPr>
        <w:t xml:space="preserve">The Federal Government has also stated that the NFA is an agreement in principle only and</w:t>
      </w:r>
      <w:r w:rsidDel="00000000" w:rsidR="00000000" w:rsidRPr="00000000">
        <w:rPr>
          <w:rtl w:val="0"/>
        </w:rPr>
        <w:t xml:space="preserve"> is not binding, therefore it is up to every state to decide whether they want to legislate any of it.</w:t>
        <w:br w:type="textWrapping"/>
      </w:r>
    </w:p>
    <w:p w:rsidR="00000000" w:rsidDel="00000000" w:rsidP="00000000" w:rsidRDefault="00000000" w:rsidRPr="00000000" w14:paraId="00000005">
      <w:pPr>
        <w:contextualSpacing w:val="0"/>
        <w:rPr/>
      </w:pPr>
      <w:r w:rsidDel="00000000" w:rsidR="00000000" w:rsidRPr="00000000">
        <w:rPr>
          <w:rtl w:val="0"/>
        </w:rPr>
        <w:t xml:space="preserve">The proposed changes will only punish the law-abiding shooters of Victoria with no public safety benefit and in an election year that will help many shooters including myself decide on who they will vote for, with many of us residing in marginal seats.</w:t>
        <w:br w:type="textWrapping"/>
        <w:br w:type="textWrapping"/>
        <w:t xml:space="preserve">I hope you will be able to see past the blatant fear mongering that has taken place on this matter and vote accordingly.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Best/Kind Regards,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Your Name</w:t>
      </w:r>
    </w:p>
    <w:p w:rsidR="00000000" w:rsidDel="00000000" w:rsidP="00000000" w:rsidRDefault="00000000" w:rsidRPr="00000000" w14:paraId="0000000A">
      <w:pPr>
        <w:contextualSpacing w:val="0"/>
        <w:rPr/>
      </w:pPr>
      <w:r w:rsidDel="00000000" w:rsidR="00000000" w:rsidRPr="00000000">
        <w:rPr>
          <w:rtl w:val="0"/>
        </w:rPr>
        <w:t xml:space="preserve">Your Contact Number</w:t>
      </w:r>
    </w:p>
    <w:p w:rsidR="00000000" w:rsidDel="00000000" w:rsidP="00000000" w:rsidRDefault="00000000" w:rsidRPr="00000000" w14:paraId="0000000B">
      <w:pPr>
        <w:contextualSpacing w:val="0"/>
        <w:rPr/>
      </w:pPr>
      <w:r w:rsidDel="00000000" w:rsidR="00000000" w:rsidRPr="00000000">
        <w:rPr>
          <w:rtl w:val="0"/>
        </w:rPr>
        <w:t xml:space="preserve">Your Residential Address (MPs will not reply to a letter without proof that you’re in their electorate)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